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240" w:lineRule="exact"/>
        <w:ind w:right="641"/>
        <w:jc w:val="center"/>
        <w:rPr>
          <w:rFonts w:eastAsia="方正小标宋_GBK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19326225</wp:posOffset>
                </wp:positionH>
                <wp:positionV relativeFrom="paragraph">
                  <wp:posOffset>671195</wp:posOffset>
                </wp:positionV>
                <wp:extent cx="135890" cy="142240"/>
                <wp:effectExtent l="13335" t="16510" r="22225" b="3175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2240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67945" y="0"/>
                            </a:cxn>
                            <a:cxn ang="10747904">
                              <a:pos x="0" y="54330"/>
                            </a:cxn>
                            <a:cxn ang="5373952">
                              <a:pos x="25952" y="142239"/>
                            </a:cxn>
                            <a:cxn ang="5373952">
                              <a:pos x="109937" y="142239"/>
                            </a:cxn>
                            <a:cxn ang="0">
                              <a:pos x="135889" y="54330"/>
                            </a:cxn>
                          </a:cxnLst>
                          <a:pathLst>
                            <a:path w="135890" h="142240">
                              <a:moveTo>
                                <a:pt x="0" y="54330"/>
                              </a:moveTo>
                              <a:lnTo>
                                <a:pt x="51905" y="54331"/>
                              </a:lnTo>
                              <a:lnTo>
                                <a:pt x="67945" y="0"/>
                              </a:lnTo>
                              <a:lnTo>
                                <a:pt x="83984" y="54331"/>
                              </a:lnTo>
                              <a:lnTo>
                                <a:pt x="135889" y="54330"/>
                              </a:lnTo>
                              <a:lnTo>
                                <a:pt x="93897" y="87908"/>
                              </a:lnTo>
                              <a:lnTo>
                                <a:pt x="109937" y="142239"/>
                              </a:lnTo>
                              <a:lnTo>
                                <a:pt x="67945" y="108660"/>
                              </a:lnTo>
                              <a:lnTo>
                                <a:pt x="25952" y="142239"/>
                              </a:lnTo>
                              <a:lnTo>
                                <a:pt x="41992" y="87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21.75pt;margin-top:52.85pt;height:11.2pt;width:10.7pt;z-index:251658240;mso-width-relative:page;mso-height-relative:page;" coordsize="135890,142240" o:gfxdata="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pwpbvYAAAADQEAAA8AAAAAAAAAAQAgAAAAIgAAAGRycy9kb3ducmV2LnhtbFBL&#10;AQIUABQAAAAIAIdO4kA+o00q2gIAAAsHAAAOAAAAAAAAAAEAIAAAACcBAABkcnMvZTJvRG9jLnht&#10;bFBLBQYAAAAABgAGAFkBAABzBgAAAAA=&#10;" path="m0,54330l51905,54331,67945,0,83984,54331,135889,54330,93897,87908,109937,142239,67945,108660,25952,142239,41992,87908xe">
                <v:path o:connectlocs="67945,0;0,54330;25952,142239;109937,142239;135889,54330" o:connectangles="247,164,82,82,0"/>
                <v:fill focussize="0,0"/>
                <v:stroke joinstyle="miter"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方正小标宋_GBK" w:eastAsia="方正小标宋_GBK"/>
          <w:sz w:val="36"/>
          <w:szCs w:val="36"/>
        </w:rPr>
        <w:t>泰州市</w:t>
      </w:r>
      <w:r>
        <w:rPr>
          <w:rFonts w:ascii="方正小标宋_GBK" w:eastAsia="方正小标宋_GBK"/>
          <w:sz w:val="36"/>
          <w:szCs w:val="36"/>
        </w:rPr>
        <w:t>2019</w:t>
      </w:r>
      <w:r>
        <w:rPr>
          <w:rFonts w:hint="eastAsia" w:ascii="方正小标宋_GBK" w:eastAsia="方正小标宋_GBK"/>
          <w:sz w:val="36"/>
          <w:szCs w:val="36"/>
        </w:rPr>
        <w:t>年下半年“泰爱才”校园引才线路安排</w:t>
      </w:r>
    </w:p>
    <w:p>
      <w:pPr>
        <w:widowControl/>
        <w:spacing w:line="240" w:lineRule="exact"/>
        <w:jc w:val="center"/>
        <w:rPr>
          <w:rFonts w:eastAsia="方正小标宋_GBK"/>
          <w:sz w:val="36"/>
          <w:szCs w:val="36"/>
        </w:rPr>
      </w:pPr>
    </w:p>
    <w:tbl>
      <w:tblPr>
        <w:tblStyle w:val="2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963"/>
        <w:gridCol w:w="1820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96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线路名称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时间安排</w:t>
            </w:r>
          </w:p>
        </w:tc>
        <w:tc>
          <w:tcPr>
            <w:tcW w:w="393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涉及高校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华中线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月中旬</w:t>
            </w:r>
          </w:p>
        </w:tc>
        <w:tc>
          <w:tcPr>
            <w:tcW w:w="3938" w:type="dxa"/>
            <w:vAlign w:val="center"/>
          </w:tcPr>
          <w:p>
            <w:pPr>
              <w:autoSpaceDE w:val="0"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华中科技大学、武汉理工大学、中南大学、长沙理工大学等高校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东北医药专线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月下旬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大连医科大学、沈阳药科大学、沈阳医学院、长春中医药大学、吉林大学（白求恩医学部）、哈尔滨医科大学等高校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安徽线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月中旬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合肥工业大学、安徽理工大学、安徽工业大学、安徽工程大学等高校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东北机械专线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月下旬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沈阳工业大学、大连理工、黑龙江大学、哈尔滨理工大学、哈尔滨商业大学、吉林大学、北华大学等高校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月下旬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山东大学、山东大学威海校区、中国海洋大学、哈尔滨理工大学荣成校区等高校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河南、山西线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月下旬</w:t>
            </w:r>
          </w:p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月上旬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河南科技大学、太原科技大学、郑州大学、河南大学等高校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西安、成都线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月上旬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4"/>
              </w:rPr>
              <w:t>西北工业大学、西安科技大学、长安大学、四川大学、电子科技大学等高校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福州、厦门线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月上旬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福州大学、厦门大学等高校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待省定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清华大学、北京大学等高校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省内师范专线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月中旬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江苏师范大学、淮阴师范学院、盐城师范学院等高校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省内机械专线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月中旬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徐州工程大学、中国矿业大学、淮阴工学院、淮海工学院、宿迁学院、盐城工业大学等高校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南京线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月下旬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南京中医药大学、中国药科大学、南京工业大学等高校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镇江线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月上旬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江苏科技大学、江苏大学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本地高校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开展本地高校巡回招聘活动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3A67"/>
    <w:rsid w:val="5D7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2019-09-11T01:34:00Z</dcterms:created>
  <dc:creator>Mthon</dc:creator>
  <cp:lastModifiedBy>Mthon</cp:lastModifiedBy>
  <dcterms:modified xsi:type="dcterms:W3CDTF">2019-09-11T01:36:14Z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