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附件5</w:t>
      </w:r>
    </w:p>
    <w:p>
      <w:pPr>
        <w:spacing w:line="240" w:lineRule="exact"/>
        <w:rPr>
          <w:rFonts w:ascii="仿宋" w:hAnsi="仿宋" w:eastAsia="仿宋"/>
          <w:b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第八届中国长三角十佳HR经理人评选活动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评委评分表</w:t>
      </w:r>
    </w:p>
    <w:p>
      <w:pPr>
        <w:rPr>
          <w:rFonts w:hint="eastAsia" w:ascii="仿宋" w:hAnsi="仿宋" w:eastAsia="仿宋"/>
          <w:szCs w:val="21"/>
        </w:rPr>
      </w:pP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6258"/>
        <w:gridCol w:w="13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评选标准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及权重</w:t>
            </w:r>
          </w:p>
        </w:tc>
        <w:tc>
          <w:tcPr>
            <w:tcW w:w="6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细分指标维度</w:t>
            </w:r>
          </w:p>
        </w:tc>
        <w:tc>
          <w:tcPr>
            <w:tcW w:w="13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8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领导力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20%</w:t>
            </w:r>
          </w:p>
        </w:tc>
        <w:tc>
          <w:tcPr>
            <w:tcW w:w="6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1. 阐释和推行企业使命、愿景与核心价值观</w:t>
            </w:r>
          </w:p>
        </w:tc>
        <w:tc>
          <w:tcPr>
            <w:tcW w:w="1313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6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2. 参与企业战略决策</w:t>
            </w:r>
          </w:p>
        </w:tc>
        <w:tc>
          <w:tcPr>
            <w:tcW w:w="1313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6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3. 制定中长期人力资源规划</w:t>
            </w:r>
          </w:p>
        </w:tc>
        <w:tc>
          <w:tcPr>
            <w:tcW w:w="1313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6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4. 在重大人事决策和核心人才队伍建设发挥重大作用</w:t>
            </w:r>
          </w:p>
        </w:tc>
        <w:tc>
          <w:tcPr>
            <w:tcW w:w="1313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18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创造力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20%</w:t>
            </w:r>
          </w:p>
        </w:tc>
        <w:tc>
          <w:tcPr>
            <w:tcW w:w="6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1. 建立科学合理、规范有序、务实高效的人力资源管理体系、为企业引进、培养、激励优秀人才提供体制机制平台保障</w:t>
            </w:r>
          </w:p>
        </w:tc>
        <w:tc>
          <w:tcPr>
            <w:tcW w:w="1313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6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2. 联系企业实际，引用科学先进的管理理论、方法和技术，在管理工具、方法、技术、流程等方面有所创新发展</w:t>
            </w:r>
          </w:p>
        </w:tc>
        <w:tc>
          <w:tcPr>
            <w:tcW w:w="1313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  <w:jc w:val="center"/>
        </w:trPr>
        <w:tc>
          <w:tcPr>
            <w:tcW w:w="118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执行力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20%</w:t>
            </w:r>
          </w:p>
        </w:tc>
        <w:tc>
          <w:tcPr>
            <w:tcW w:w="6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1. 全面、正确、有效执行政策法律、企业规章制度和战略决策</w:t>
            </w:r>
          </w:p>
        </w:tc>
        <w:tc>
          <w:tcPr>
            <w:tcW w:w="1313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6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2. 有切实可行的实施计划和保障措施</w:t>
            </w:r>
          </w:p>
        </w:tc>
        <w:tc>
          <w:tcPr>
            <w:tcW w:w="1313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6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3. 防范和应对突发事件积极主动，消除隐患和避免损失，劳动关系和谐</w:t>
            </w:r>
          </w:p>
        </w:tc>
        <w:tc>
          <w:tcPr>
            <w:tcW w:w="1313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  <w:jc w:val="center"/>
        </w:trPr>
        <w:tc>
          <w:tcPr>
            <w:tcW w:w="118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学习力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20%</w:t>
            </w:r>
          </w:p>
        </w:tc>
        <w:tc>
          <w:tcPr>
            <w:tcW w:w="6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1. 自觉学习，及时更新知识，不断提高自身职业素养和管理手段，有自学成果</w:t>
            </w:r>
          </w:p>
        </w:tc>
        <w:tc>
          <w:tcPr>
            <w:tcW w:w="1313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6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2. 能带动全体员工不断学习，营造全员学习氛围及提升全员素质</w:t>
            </w:r>
          </w:p>
        </w:tc>
        <w:tc>
          <w:tcPr>
            <w:tcW w:w="1313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6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3. 能不断创新学习理念，促进企业文化</w:t>
            </w:r>
          </w:p>
        </w:tc>
        <w:tc>
          <w:tcPr>
            <w:tcW w:w="1313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6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4. 通过学习，打造一支人力资源管理专业团队</w:t>
            </w:r>
          </w:p>
        </w:tc>
        <w:tc>
          <w:tcPr>
            <w:tcW w:w="1313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  <w:jc w:val="center"/>
        </w:trPr>
        <w:tc>
          <w:tcPr>
            <w:tcW w:w="118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影响力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  <w:t>20%</w:t>
            </w:r>
          </w:p>
        </w:tc>
        <w:tc>
          <w:tcPr>
            <w:tcW w:w="6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1. 以其贡献和业绩，为本人与其所在企业获得政府、行业和社会的荣誉奖励</w:t>
            </w:r>
          </w:p>
        </w:tc>
        <w:tc>
          <w:tcPr>
            <w:tcW w:w="1313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6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2. 在政府、行业和社会相关机构、组织中担任一定的社会职务</w:t>
            </w:r>
          </w:p>
        </w:tc>
        <w:tc>
          <w:tcPr>
            <w:tcW w:w="1313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118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  <w:tc>
          <w:tcPr>
            <w:tcW w:w="6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3. 个人及其所领导的团队在本企业中获得的荣誉和奖励</w:t>
            </w:r>
          </w:p>
        </w:tc>
        <w:tc>
          <w:tcPr>
            <w:tcW w:w="1313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/>
        <w:textAlignment w:val="auto"/>
        <w:rPr>
          <w:rFonts w:ascii="仿宋" w:hAnsi="仿宋" w:eastAsia="仿宋"/>
          <w:szCs w:val="21"/>
        </w:rPr>
      </w:pPr>
      <w:r>
        <w:rPr>
          <w:rFonts w:ascii="仿宋" w:hAnsi="仿宋" w:eastAsia="仿宋"/>
          <w:b/>
          <w:szCs w:val="21"/>
        </w:rPr>
        <w:t>说明</w:t>
      </w:r>
      <w:r>
        <w:rPr>
          <w:rFonts w:ascii="仿宋" w:hAnsi="仿宋" w:eastAsia="仿宋"/>
          <w:szCs w:val="21"/>
        </w:rPr>
        <w:t>：1. 各维度满分20分；</w:t>
      </w:r>
    </w:p>
    <w:p>
      <w:pPr>
        <w:numPr>
          <w:ilvl w:val="0"/>
          <w:numId w:val="0"/>
        </w:numPr>
        <w:ind w:left="630" w:leftChars="0"/>
        <w:rPr>
          <w:rFonts w:hint="eastAsia"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  <w:lang w:val="en-US" w:eastAsia="zh-CN"/>
        </w:rPr>
        <w:t>2</w:t>
      </w:r>
      <w:r>
        <w:rPr>
          <w:rFonts w:ascii="仿宋" w:hAnsi="仿宋" w:eastAsia="仿宋"/>
          <w:szCs w:val="21"/>
        </w:rPr>
        <w:t>. 评委根据选手个人简历、企业评价表、选手提供的有关复印材料进行各维度打分</w:t>
      </w:r>
      <w:r>
        <w:rPr>
          <w:rFonts w:hint="eastAsia" w:ascii="仿宋" w:hAnsi="仿宋" w:eastAsia="仿宋"/>
          <w:szCs w:val="21"/>
        </w:rPr>
        <w:t>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C35C54E-1F8E-4A57-8A37-7A944A4154B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9440B47-B1EB-49DF-B797-2181B88C285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6738D02-D44A-44BA-9B2C-A3D240B68C1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B44AD8D-6039-4844-A35D-EC216F26FB7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E288F64-96AD-4F84-8D5D-F2801D76FC4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6E27995-2161-479A-88FC-B0B57172431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FF429F5D-3638-45C2-8CA4-85FF7BBBBDFD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04CF913-1EA4-489C-A40B-10C27C9B145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8E3F01B7-AFF3-4E27-B85A-1A3AFF4A8CAD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D02FC9"/>
    <w:rsid w:val="12D02FC9"/>
    <w:rsid w:val="233C2438"/>
    <w:rsid w:val="35BE7A79"/>
    <w:rsid w:val="70511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2021-04-12T09:03:00Z</dcterms:created>
  <dc:creator>刘亚洲</dc:creator>
  <cp:lastModifiedBy>刘亚洲</cp:lastModifiedBy>
  <dcterms:modified xsi:type="dcterms:W3CDTF">2021-04-12T09:05:49Z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2DC684FF99DD483598920C72602CD9B7</vt:lpwstr>
  </property>
  <property fmtid="{D5CDD505-2E9C-101B-9397-08002B2CF9AE}" pid="4" name="KSOSaveFontToCloudKey">
    <vt:lpwstr>28121594_embed</vt:lpwstr>
  </property>
</Properties>
</file>